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0E" w:rsidRDefault="0034120E">
      <w:pPr>
        <w:widowControl/>
        <w:spacing w:after="0" w:line="240" w:lineRule="auto"/>
        <w:ind w:firstLine="284"/>
        <w:rPr>
          <w:rFonts w:ascii="Arial" w:hAnsi="Arial" w:cs="Arial"/>
          <w:b/>
          <w:bCs/>
          <w:color w:val="000000"/>
          <w:sz w:val="20"/>
          <w:szCs w:val="20"/>
          <w:u w:val="single"/>
        </w:rPr>
      </w:pPr>
      <w:r>
        <w:rPr>
          <w:rFonts w:ascii="Arial" w:hAnsi="Arial" w:cs="Arial"/>
          <w:b/>
          <w:bCs/>
          <w:color w:val="000000"/>
          <w:sz w:val="20"/>
          <w:szCs w:val="20"/>
          <w:u w:val="single"/>
        </w:rPr>
        <w:t>Fecha de Publicación en el Boletín Oficial Nº 32.922: 10/7/2014</w:t>
      </w:r>
    </w:p>
    <w:p w:rsidR="0034120E" w:rsidRDefault="0034120E">
      <w:pPr>
        <w:widowControl/>
        <w:spacing w:after="0" w:line="240" w:lineRule="auto"/>
        <w:ind w:firstLine="284"/>
        <w:jc w:val="both"/>
        <w:rPr>
          <w:rFonts w:ascii="Arial" w:hAnsi="Arial" w:cs="Arial"/>
          <w:b/>
          <w:bCs/>
          <w:color w:val="000000"/>
          <w:sz w:val="20"/>
          <w:szCs w:val="20"/>
        </w:rPr>
      </w:pPr>
    </w:p>
    <w:p w:rsidR="0034120E" w:rsidRDefault="0034120E">
      <w:pPr>
        <w:widowControl/>
        <w:spacing w:after="0" w:line="240" w:lineRule="auto"/>
        <w:ind w:firstLine="284"/>
        <w:jc w:val="both"/>
        <w:rPr>
          <w:rFonts w:ascii="Arial" w:hAnsi="Arial" w:cs="Arial"/>
          <w:b/>
          <w:bCs/>
          <w:color w:val="000000"/>
          <w:sz w:val="20"/>
          <w:szCs w:val="20"/>
        </w:rPr>
      </w:pPr>
      <w:r>
        <w:rPr>
          <w:rFonts w:ascii="Arial" w:hAnsi="Arial" w:cs="Arial"/>
          <w:b/>
          <w:bCs/>
          <w:color w:val="000000"/>
          <w:sz w:val="20"/>
          <w:szCs w:val="20"/>
        </w:rPr>
        <w:t xml:space="preserve">Unidad de Información Financiera </w:t>
      </w:r>
    </w:p>
    <w:p w:rsidR="0034120E" w:rsidRDefault="0034120E">
      <w:pPr>
        <w:widowControl/>
        <w:spacing w:after="0" w:line="240" w:lineRule="auto"/>
        <w:ind w:firstLine="284"/>
        <w:jc w:val="both"/>
        <w:rPr>
          <w:rFonts w:ascii="Arial" w:hAnsi="Arial" w:cs="Arial"/>
          <w:b/>
          <w:bCs/>
          <w:color w:val="000000"/>
          <w:sz w:val="20"/>
          <w:szCs w:val="20"/>
        </w:rPr>
      </w:pPr>
    </w:p>
    <w:p w:rsidR="0034120E" w:rsidRDefault="0034120E">
      <w:pPr>
        <w:widowControl/>
        <w:spacing w:after="0" w:line="240" w:lineRule="auto"/>
        <w:ind w:firstLine="284"/>
        <w:jc w:val="both"/>
        <w:rPr>
          <w:rFonts w:ascii="Arial" w:hAnsi="Arial" w:cs="Arial"/>
          <w:b/>
          <w:bCs/>
          <w:color w:val="000000"/>
          <w:sz w:val="20"/>
          <w:szCs w:val="20"/>
        </w:rPr>
      </w:pPr>
      <w:r>
        <w:rPr>
          <w:rFonts w:ascii="Arial" w:hAnsi="Arial" w:cs="Arial"/>
          <w:b/>
          <w:bCs/>
          <w:color w:val="000000"/>
          <w:sz w:val="20"/>
          <w:szCs w:val="20"/>
        </w:rPr>
        <w:t xml:space="preserve">PREVENCION DEL LAVADO DE ACTIVOS Y DE LA FINANCIACION DEL TERRORISMO </w:t>
      </w:r>
    </w:p>
    <w:p w:rsidR="0034120E" w:rsidRDefault="0034120E">
      <w:pPr>
        <w:widowControl/>
        <w:spacing w:after="0" w:line="240" w:lineRule="auto"/>
        <w:ind w:firstLine="284"/>
        <w:jc w:val="both"/>
        <w:rPr>
          <w:rFonts w:ascii="Arial" w:hAnsi="Arial" w:cs="Arial"/>
          <w:b/>
          <w:bCs/>
          <w:color w:val="000000"/>
          <w:sz w:val="20"/>
          <w:szCs w:val="20"/>
        </w:rPr>
      </w:pPr>
    </w:p>
    <w:p w:rsidR="0034120E" w:rsidRDefault="0034120E">
      <w:pPr>
        <w:widowControl/>
        <w:spacing w:after="0" w:line="240" w:lineRule="auto"/>
        <w:ind w:firstLine="284"/>
        <w:jc w:val="both"/>
        <w:rPr>
          <w:rFonts w:ascii="Arial" w:hAnsi="Arial" w:cs="Arial"/>
          <w:b/>
          <w:bCs/>
          <w:color w:val="000000"/>
          <w:sz w:val="20"/>
          <w:szCs w:val="20"/>
        </w:rPr>
      </w:pPr>
      <w:r>
        <w:rPr>
          <w:rFonts w:ascii="Arial" w:hAnsi="Arial" w:cs="Arial"/>
          <w:b/>
          <w:bCs/>
          <w:color w:val="000000"/>
          <w:sz w:val="20"/>
          <w:szCs w:val="20"/>
        </w:rPr>
        <w:t>Resolución 300/2014</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b/>
          <w:bCs/>
          <w:color w:val="000000"/>
          <w:sz w:val="20"/>
          <w:szCs w:val="20"/>
        </w:rPr>
      </w:pPr>
      <w:r>
        <w:rPr>
          <w:rFonts w:ascii="Arial" w:hAnsi="Arial" w:cs="Arial"/>
          <w:b/>
          <w:bCs/>
          <w:color w:val="000000"/>
          <w:sz w:val="20"/>
          <w:szCs w:val="20"/>
        </w:rPr>
        <w:t>Monedas Virtuales. Resolución N° 70/2011. Modificación.</w:t>
      </w:r>
    </w:p>
    <w:p w:rsidR="0034120E" w:rsidRDefault="0034120E">
      <w:pPr>
        <w:widowControl/>
        <w:spacing w:after="0" w:line="240" w:lineRule="auto"/>
        <w:ind w:firstLine="284"/>
        <w:jc w:val="both"/>
        <w:rPr>
          <w:rFonts w:ascii="Arial" w:hAnsi="Arial" w:cs="Arial"/>
          <w:b/>
          <w:bCs/>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Bs. As., 4/7/2014</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VISTO el Expediente Nº 1500/2014 del registro de la UNIDAD DE INFORMACION FINANCIERA, organismo descentralizado del MINISTERIO DE JUSTICIA Y DERECHOS HUMANOS, lo dispuesto en la Ley N° 25.246 y sus modificatorias y lo establecido en los Decretos N° 290 del 27 de marzo de 2007 y su modificatorio, y en la Resolución UIF N° 70 del 24 de mayo de 2011 y sus modificatorias, y</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CONSIDERANDO:</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en virtud de lo establecido en el artículo 6º de la Ley Nº 25.246 y sus modificatorias, esta UNIDAD DE INFORMACION FINANCIERA es el Organismo encargado del análisis, tratamiento y transmisión de información a los efectos de prevenir e impedir los delitos de Lavado de Activos (artículo 303 del Código Penal) y de Financiación del Terrorismo (306 del Código Penal).</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las monedas virtuales representan un negocio en expansión en el mundo entero, que ha cobrado relevancia económica en los últimos tiempos.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sin perjuicio de lo indicado, las monedas virtuales involucran una serie de riesgos para el sistema de prevención de los delitos de Lavado de Activos y de la Financiación del Terrorismo.</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el GRUPO DE ACCION FINANCIERA INTERNACIONAL, ha emitido en enero y junio del corriente año documentos relativos a los referidos riesgos que implican las mencionadas monedas virtuales, siendo uno de los más significativos el anonimato, lo que impide la trazabilidad nominativa de las operaciones.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adicionalmente, las monedas virtuales son muchas veces comercializadas mediante transacciones a distancia realizadas a través de internet; permiten el movimiento transfronterizo de activos, involucrando a entidades de diferentes países, pudiendo participar de las mismas jurisdicciones que no tienen controles de prevención de Lavado de Activos y de la Financiación del Terrorismo adecuados; todo lo cual dificulta a los Sujetos Obligados la detección operaciones sospechosas.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estas vulnerabilidades podrían estar siendo aprovechadas por personas que pretenden evitar el sistema preventivo establecido por nuestro país mediante la sanción de la Ley Nº 25.246 y sus modificatorias.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las medidas que por la presente se implementan permitirán mitigar adecuadamente los riesgos de Lavado de Activos y de Financiación del Terrorismo en nuestro país.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las citadas acciones encuentran correlato también con lo dispuesto en la Recomendación 1 de las 40 Recomendaciones para prevenir los delitos de Lavado de Activos y de Financiación del Terrorismo del GRUPO DE ACCION FINANCIERA INTERNACIONAL.</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la Dirección de Asuntos Jurídicos de esta UNIDAD DE INFORMACION FINANCIERA ha tomado la intervención que le compete.</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el Consejo Asesor ha tomado la debida intervención de conformidad con lo establecido en el artículo 16 de la Ley N° 25.246 y sus modificatorias.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Que la presente se dicta en ejercicio de las facultades conferidas por los artículos 14 incisos 1, 9, y 10; 15 inciso 3; 20 bis; 21 y 21 bis de la Ley Nº 25.246 y sus modificatorias.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Por ello,</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EL PRESIDENTE DE LA UNIDAD </w:t>
      </w:r>
      <w:bookmarkStart w:id="0" w:name="_GoBack"/>
      <w:bookmarkEnd w:id="0"/>
      <w:r>
        <w:rPr>
          <w:rFonts w:ascii="Arial" w:hAnsi="Arial" w:cs="Arial"/>
          <w:color w:val="000000"/>
          <w:sz w:val="20"/>
          <w:szCs w:val="20"/>
        </w:rPr>
        <w:t>DE INFORMACION FINANCIERA RESUELVE:</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Artículo 1° — Los Sujetos Obligados enumerados en los incisos 1, 2, 3, 4, 5, 7, 8, 9, 11, 12, 13, 18, 19, 20, 21, 22 y 23 del artículo 20 de la Ley Nº 25.246 y sus modificatorias deberán prestar especial atención al riesgo que implican las operaciones efectuadas con monedas virtuales y establecer un seguimiento reforzado respecto de estas operaciones, evaluando que se ajusten al perfil del cliente que las realiza, de conformidad con la política de conocimiento del cliente que hayan implementado.</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Art. 2° — A los efectos de la presente resolución se entenderá por “Monedas Virtuales” a la representación digital de valor que puede ser objeto de comercio digital y cuyas funciones son la de constituir un medio de intercambio, y/o una unidad de cuenta, y/o una reserva de valor, pero que no tienen curso legal, ni se emiten, ni se encuentran garantizadas por ningún país o jurisdicción.</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En este sentido las monedas virtuales se diferencian del dinero electrónico, que es un mecanismo para transferir digitalmente monedas fiduciarias, es decir, mediante el cual se transfieren electrónicamente monedas que tienen curso legal en algún país o jurisdicción.</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Art. 3° — Las disposiciones del ARTICULO 1º de la presente comenzarán a regir a partir del día 1º de agosto de 2014 y serán de aplicación para todas aquellas operaciones efectuadas con posterioridad a esa fecha.</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Art. 4° — Incorpórese como ARTICULO 15 Ter de la Resolución UIF N° 70 del 24 de mayo de 2011, el siguiente:</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“ARTICULO 15 Ter.- REPORTE DE OPERACIONES EFECTUADAS CON MONEDAS VIRTUALES. Los Sujetos Obligados enumerados en los incisos 1, 2, 3, 4, 5, 7, 8, 9, 11, 12, 13, 18, 19, 20, 21, 22 y 23 del artículo 20 de la Ley Nº 25.246 y sus modificatorias deberán informar, a través del sitio www.uif.gob.ar de esta UNIDAD DE INFORMACION FINANCIERA, todas las operaciones efectuadas con monedas virtuales.</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Los reportes a que se refiere el párrafo precedente deberán efectuarse mensualmente, hasta el día QUINCE (15) de cada mes, a partir del mes de septiembre de 2014, y contener la información correspondiente a las operaciones realizadas en el mes calendario inmediato anterior.”</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Art. 5° — Comuníquese, publíquese, dése a la Dirección Nacional del Registro Oficial y archívese. — José Sbattella.</w:t>
      </w:r>
    </w:p>
    <w:p w:rsidR="0034120E" w:rsidRDefault="0034120E">
      <w:pPr>
        <w:widowControl/>
        <w:spacing w:after="0" w:line="240" w:lineRule="auto"/>
        <w:ind w:firstLine="284"/>
        <w:jc w:val="both"/>
        <w:rPr>
          <w:rFonts w:ascii="Arial" w:hAnsi="Arial" w:cs="Arial"/>
          <w:color w:val="000000"/>
          <w:sz w:val="20"/>
          <w:szCs w:val="20"/>
        </w:rPr>
      </w:pPr>
    </w:p>
    <w:p w:rsidR="0034120E" w:rsidRDefault="0034120E">
      <w:pPr>
        <w:widowControl/>
        <w:spacing w:after="0" w:line="240" w:lineRule="auto"/>
        <w:ind w:firstLine="284"/>
        <w:jc w:val="both"/>
        <w:rPr>
          <w:rFonts w:ascii="Arial" w:hAnsi="Arial" w:cs="Arial"/>
          <w:color w:val="000000"/>
          <w:sz w:val="20"/>
          <w:szCs w:val="20"/>
        </w:rPr>
      </w:pPr>
      <w:r>
        <w:rPr>
          <w:rFonts w:ascii="Arial" w:hAnsi="Arial" w:cs="Arial"/>
          <w:color w:val="000000"/>
          <w:sz w:val="20"/>
          <w:szCs w:val="20"/>
        </w:rPr>
        <w:t xml:space="preserve"> </w:t>
      </w:r>
    </w:p>
    <w:sectPr w:rsidR="0034120E">
      <w:pgSz w:w="12240" w:h="15840"/>
      <w:pgMar w:top="1417" w:right="1700" w:bottom="1417" w:left="17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D5"/>
    <w:rsid w:val="0034120E"/>
    <w:rsid w:val="00655CD5"/>
    <w:rsid w:val="00FA5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VE" w:eastAsia="es-V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alibri" w:hAnsi="Calibri" w:cs="Calibri"/>
      <w:lang w:val="es-AR"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next w:val="Normal"/>
    <w:uiPriority w:val="99"/>
    <w:pPr>
      <w:widowControl w:val="0"/>
      <w:autoSpaceDE w:val="0"/>
      <w:autoSpaceDN w:val="0"/>
      <w:adjustRightInd w:val="0"/>
      <w:spacing w:after="0" w:line="240" w:lineRule="auto"/>
    </w:pPr>
    <w:rPr>
      <w:rFonts w:ascii="Times New Roman" w:hAnsi="Times New Roman"/>
      <w:sz w:val="24"/>
      <w:szCs w:val="24"/>
      <w:lang w:val="es-AR" w:eastAsia="es-ES"/>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Pr>
      <w:rFonts w:ascii="Courier New" w:hAnsi="Courier New" w:cs="Courier New"/>
      <w:sz w:val="20"/>
      <w:szCs w:val="20"/>
    </w:rPr>
  </w:style>
  <w:style w:type="character" w:customStyle="1" w:styleId="Relacinconanexos">
    <w:name w:val="Relación con anexos"/>
    <w:uiPriority w:val="99"/>
    <w:rPr>
      <w:b/>
      <w:i/>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VE" w:eastAsia="es-V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alibri" w:hAnsi="Calibri" w:cs="Calibri"/>
      <w:lang w:val="es-AR"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next w:val="Normal"/>
    <w:uiPriority w:val="99"/>
    <w:pPr>
      <w:widowControl w:val="0"/>
      <w:autoSpaceDE w:val="0"/>
      <w:autoSpaceDN w:val="0"/>
      <w:adjustRightInd w:val="0"/>
      <w:spacing w:after="0" w:line="240" w:lineRule="auto"/>
    </w:pPr>
    <w:rPr>
      <w:rFonts w:ascii="Times New Roman" w:hAnsi="Times New Roman"/>
      <w:sz w:val="24"/>
      <w:szCs w:val="24"/>
      <w:lang w:val="es-AR" w:eastAsia="es-ES"/>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Pr>
      <w:rFonts w:ascii="Courier New" w:hAnsi="Courier New" w:cs="Courier New"/>
      <w:sz w:val="20"/>
      <w:szCs w:val="20"/>
    </w:rPr>
  </w:style>
  <w:style w:type="character" w:customStyle="1" w:styleId="Relacinconanexos">
    <w:name w:val="Relación con anexos"/>
    <w:uiPriority w:val="99"/>
    <w:rPr>
      <w:b/>
      <w:i/>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Barcalde</dc:creator>
  <cp:lastModifiedBy>Dayan</cp:lastModifiedBy>
  <cp:revision>2</cp:revision>
  <dcterms:created xsi:type="dcterms:W3CDTF">2014-11-05T23:34:00Z</dcterms:created>
  <dcterms:modified xsi:type="dcterms:W3CDTF">2014-11-05T23:34:00Z</dcterms:modified>
</cp:coreProperties>
</file>