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11" w:rsidRDefault="00B62AFD">
      <w:r>
        <w:t xml:space="preserve">                        </w:t>
      </w:r>
      <w:r w:rsidR="002D5729" w:rsidRPr="00B62AFD">
        <w:rPr>
          <w:b/>
        </w:rPr>
        <w:t xml:space="preserve">RESOLUCAO 4.008                              </w:t>
      </w:r>
      <w:r w:rsidR="002D5729" w:rsidRPr="00B62AFD">
        <w:rPr>
          <w:b/>
        </w:rPr>
        <w:br/>
        <w:t xml:space="preserve">                        ---------------                              </w:t>
      </w:r>
      <w:r w:rsidR="002D5729" w:rsidRPr="00B62AFD">
        <w:rPr>
          <w:b/>
        </w:rPr>
        <w:br/>
        <w:t xml:space="preserve">                                                                     </w:t>
      </w:r>
      <w:r w:rsidR="002D5729" w:rsidRPr="00B62AFD">
        <w:rPr>
          <w:b/>
        </w:rPr>
        <w:br/>
        <w:t xml:space="preserve">                                 Dispõe</w:t>
      </w:r>
      <w:proofErr w:type="gramStart"/>
      <w:r w:rsidR="002D5729" w:rsidRPr="00B62AFD">
        <w:rPr>
          <w:b/>
        </w:rPr>
        <w:t xml:space="preserve">   </w:t>
      </w:r>
      <w:proofErr w:type="gramEnd"/>
      <w:r w:rsidR="002D5729" w:rsidRPr="00B62AFD">
        <w:rPr>
          <w:b/>
        </w:rPr>
        <w:t>sobre   financiamentos   ao</w:t>
      </w:r>
      <w:r w:rsidR="002D5729" w:rsidRPr="00B62AFD">
        <w:rPr>
          <w:b/>
        </w:rPr>
        <w:br/>
        <w:t xml:space="preserve">                                 amparo   de   recursos   do    Fundo</w:t>
      </w:r>
      <w:r w:rsidR="002D5729" w:rsidRPr="00B62AFD">
        <w:rPr>
          <w:b/>
        </w:rPr>
        <w:br/>
        <w:t xml:space="preserve">                                 Nacional  sobre  Mudança  do   Clima</w:t>
      </w:r>
      <w:r w:rsidR="002D5729" w:rsidRPr="00B62AFD">
        <w:rPr>
          <w:b/>
        </w:rPr>
        <w:br/>
        <w:t xml:space="preserve">                                 (FNMC).</w:t>
      </w:r>
      <w:r w:rsidR="002D5729">
        <w:t xml:space="preserve">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O</w:t>
      </w:r>
      <w:proofErr w:type="gramStart"/>
      <w:r w:rsidR="002D5729">
        <w:t xml:space="preserve">  </w:t>
      </w:r>
      <w:proofErr w:type="gramEnd"/>
      <w:r w:rsidR="002D5729">
        <w:t>Banco  Central do Brasil, na forma do art. 9º da  Lei  nº</w:t>
      </w:r>
      <w:r w:rsidR="002D5729">
        <w:br/>
        <w:t>4.595,  de  31  de  dezembro de 1964, torna público  que  o  Conselho</w:t>
      </w:r>
      <w:r w:rsidR="002D5729">
        <w:br/>
        <w:t>Monetário  Nacional,  em sessão extraordinária  realizada  em  13  de</w:t>
      </w:r>
      <w:r w:rsidR="002D5729">
        <w:br/>
        <w:t xml:space="preserve">setembro  de 2011, com base nos </w:t>
      </w:r>
      <w:proofErr w:type="spellStart"/>
      <w:r w:rsidR="002D5729">
        <w:t>arts</w:t>
      </w:r>
      <w:proofErr w:type="spellEnd"/>
      <w:r w:rsidR="002D5729">
        <w:t>. 9º da Lei nº 12.114,</w:t>
      </w:r>
      <w:proofErr w:type="gramStart"/>
      <w:r w:rsidR="002D5729">
        <w:t xml:space="preserve">  </w:t>
      </w:r>
      <w:proofErr w:type="gramEnd"/>
      <w:r w:rsidR="002D5729">
        <w:t>de  9  de</w:t>
      </w:r>
      <w:r w:rsidR="002D5729">
        <w:br/>
        <w:t>dezembro de 2009, e 14 do Decreto nº 7.343, de 26 de outubro de 2010,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R E S O L V E U :        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Art.   1º   Os  financiamentos  de  projetos  destinados   à</w:t>
      </w:r>
      <w:r w:rsidR="002D5729">
        <w:br/>
        <w:t>mitigação  e adaptação à mudança do clima, lastreados em recursos  do</w:t>
      </w:r>
      <w:r w:rsidR="002D5729">
        <w:br/>
        <w:t>Fundo Nacional sobre Mudança do Clima (FNMC), vinculado ao Ministério</w:t>
      </w:r>
      <w:r w:rsidR="002D5729">
        <w:br/>
        <w:t>do  Meio Ambiente (MMA), ficam subordinados às deliberações do Comitê</w:t>
      </w:r>
      <w:r w:rsidR="002D5729">
        <w:br/>
        <w:t xml:space="preserve">Gestor do FNMC e às seguintes condições: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I - remuneração das instituições financeiras: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a)  do  Banco Nacional de Desenvolvimento Econômico e Social</w:t>
      </w:r>
      <w:r w:rsidR="002D5729">
        <w:br/>
        <w:t xml:space="preserve">(BNDES):                          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1.  </w:t>
      </w:r>
      <w:proofErr w:type="gramStart"/>
      <w:r w:rsidR="002D5729">
        <w:t>nas</w:t>
      </w:r>
      <w:proofErr w:type="gramEnd"/>
      <w:r w:rsidR="002D5729">
        <w:t xml:space="preserve"> operações diretas: até 4,5% </w:t>
      </w:r>
      <w:proofErr w:type="spellStart"/>
      <w:r w:rsidR="002D5729">
        <w:t>a.a.</w:t>
      </w:r>
      <w:proofErr w:type="spellEnd"/>
      <w:r w:rsidR="002D5729">
        <w:t xml:space="preserve"> (quatro inteiros  e</w:t>
      </w:r>
      <w:r w:rsidR="002D5729">
        <w:br/>
        <w:t xml:space="preserve">cinco décimos por cento ao ano);  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2.  </w:t>
      </w:r>
      <w:proofErr w:type="gramStart"/>
      <w:r w:rsidR="002D5729">
        <w:t>nas</w:t>
      </w:r>
      <w:proofErr w:type="gramEnd"/>
      <w:r w:rsidR="002D5729">
        <w:t xml:space="preserve"> operações indiretas: até 0,9% </w:t>
      </w:r>
      <w:proofErr w:type="spellStart"/>
      <w:r w:rsidR="002D5729">
        <w:t>a.a.</w:t>
      </w:r>
      <w:proofErr w:type="spellEnd"/>
      <w:r w:rsidR="002D5729">
        <w:t xml:space="preserve"> (nove décimos por</w:t>
      </w:r>
      <w:r w:rsidR="002D5729">
        <w:br/>
        <w:t>cento  ao  ano)  quando se tratar de operações com  beneficiário  com</w:t>
      </w:r>
      <w:r w:rsidR="002D5729">
        <w:br/>
        <w:t>renda anual ou Receita Operacional Bruta (ROB) de até R$90.000.000,00</w:t>
      </w:r>
      <w:r w:rsidR="002D5729">
        <w:br/>
        <w:t xml:space="preserve">(noventa  milhões  de  reais) e até 1,4% </w:t>
      </w:r>
      <w:proofErr w:type="spellStart"/>
      <w:r w:rsidR="002D5729">
        <w:t>a.a.</w:t>
      </w:r>
      <w:proofErr w:type="spellEnd"/>
      <w:r w:rsidR="002D5729">
        <w:t xml:space="preserve"> (um  inteiro  e  quatro</w:t>
      </w:r>
      <w:r w:rsidR="002D5729">
        <w:br/>
        <w:t>décimos por cento ao ano) quando se tratar de operações com os demais</w:t>
      </w:r>
      <w:r w:rsidR="002D5729">
        <w:br/>
        <w:t xml:space="preserve">beneficiários;                    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b)  da  instituição  financeira operadora  credenciada  pelo</w:t>
      </w:r>
      <w:r w:rsidR="002D5729">
        <w:br/>
        <w:t xml:space="preserve">BNDES,  nas  operações indiretas: até 3,0% </w:t>
      </w:r>
      <w:proofErr w:type="spellStart"/>
      <w:r w:rsidR="002D5729">
        <w:t>a.a.</w:t>
      </w:r>
      <w:proofErr w:type="spellEnd"/>
      <w:r w:rsidR="002D5729">
        <w:t xml:space="preserve"> (três  por  cento  ao</w:t>
      </w:r>
      <w:r w:rsidR="002D5729">
        <w:br/>
        <w:t xml:space="preserve">ano);                             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II  -  encargos financeiros aos mutuários: a remuneração  de</w:t>
      </w:r>
      <w:r w:rsidR="002D5729">
        <w:br/>
        <w:t xml:space="preserve">que trata o inciso I acrescida de: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a)  1,6 (um inteiro e seis décimos) pontos percentuais  para</w:t>
      </w:r>
      <w:r w:rsidR="002D5729">
        <w:br/>
      </w:r>
      <w:r w:rsidR="002D5729">
        <w:lastRenderedPageBreak/>
        <w:t>as  atividades de combate à desertificação cujos investimentos  sejam</w:t>
      </w:r>
      <w:r w:rsidR="002D5729">
        <w:br/>
        <w:t xml:space="preserve">direcionados para viveiros, mudas nativas, </w:t>
      </w:r>
      <w:proofErr w:type="spellStart"/>
      <w:r w:rsidR="002D5729">
        <w:t>revegetação</w:t>
      </w:r>
      <w:proofErr w:type="spellEnd"/>
      <w:r w:rsidR="002D5729">
        <w:t xml:space="preserve">  de  Áreas  de</w:t>
      </w:r>
      <w:r w:rsidR="002D5729">
        <w:br/>
        <w:t>Preservação  Permanente (</w:t>
      </w:r>
      <w:proofErr w:type="spellStart"/>
      <w:r w:rsidR="002D5729">
        <w:t>APPs</w:t>
      </w:r>
      <w:proofErr w:type="spellEnd"/>
      <w:r w:rsidR="002D5729">
        <w:t>) e para produção de  frutos,  fibras  e</w:t>
      </w:r>
      <w:r w:rsidR="002D5729">
        <w:br/>
        <w:t xml:space="preserve">madeiras nativas;                 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b)  1,6 (um inteiro e seis décimos) pontos percentuais  para</w:t>
      </w:r>
      <w:r w:rsidR="002D5729">
        <w:br/>
        <w:t>operações   com  beneficiário  com  renda  anual  ou   ROB   de   até</w:t>
      </w:r>
      <w:r w:rsidR="002D5729">
        <w:br/>
        <w:t>R$90.000.000,00  (noventa milhões de reais) e 2,9  (dois  inteiros  e</w:t>
      </w:r>
      <w:r w:rsidR="002D5729">
        <w:br/>
        <w:t>nove  décimos)  pontos  percentuais  para  operações  com  os  demais</w:t>
      </w:r>
      <w:r w:rsidR="002D5729">
        <w:br/>
        <w:t>beneficiários,  quando  se  tratar de  investimentos  em  máquinas  e</w:t>
      </w:r>
      <w:r w:rsidR="002D5729">
        <w:br/>
        <w:t xml:space="preserve">equipamentos com maiores índices de eficiência energética;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c)  3,0  (três)  pontos  percentuais  quando  se  tratar  de</w:t>
      </w:r>
      <w:r w:rsidR="002D5729">
        <w:br/>
        <w:t xml:space="preserve">investimentos  em  modais  de transporte  e  melhoria  </w:t>
      </w:r>
      <w:proofErr w:type="gramStart"/>
      <w:r w:rsidR="002D5729">
        <w:t>da</w:t>
      </w:r>
      <w:proofErr w:type="gramEnd"/>
      <w:r w:rsidR="002D5729">
        <w:t xml:space="preserve">  mobilidade</w:t>
      </w:r>
      <w:r w:rsidR="002D5729">
        <w:br/>
        <w:t xml:space="preserve">urbana;                           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d)  1,1  (um inteiro e um décimo) ponto percentual  para  as</w:t>
      </w:r>
      <w:r w:rsidR="002D5729">
        <w:br/>
        <w:t>atividades relativas à energia solar e das marés, quando se tratar de</w:t>
      </w:r>
      <w:r w:rsidR="002D5729">
        <w:br/>
        <w:t>investimentos destinados ao desenvolvimento tecnológico e  da  cadeia</w:t>
      </w:r>
      <w:r w:rsidR="002D5729">
        <w:br/>
        <w:t xml:space="preserve">produtiva e para geração e distribuição local;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e)  5,0 (cinco) pontos percentuais para atividades relativas</w:t>
      </w:r>
      <w:r w:rsidR="002D5729">
        <w:br/>
        <w:t>à  energia  eólica  e da biomassa, quando se tratar de  investimentos</w:t>
      </w:r>
      <w:r w:rsidR="002D5729">
        <w:br/>
        <w:t>destinados  ao  desenvolvimento tecnológico e da cadeia  produtiva  e</w:t>
      </w:r>
      <w:r w:rsidR="002D5729">
        <w:br/>
        <w:t xml:space="preserve">para geração e distribuição local;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f)  5,0  (cinco)  pontos percentuais  quando  se  tratar  de</w:t>
      </w:r>
      <w:r w:rsidR="002D5729">
        <w:br/>
        <w:t>investimentos destinados para atividades de melhoria da eficiência  e</w:t>
      </w:r>
      <w:r w:rsidR="002D5729">
        <w:br/>
        <w:t>sustentabilidade da produção de carvão vegetal, inclusive fornos mais</w:t>
      </w:r>
      <w:r w:rsidR="002D5729">
        <w:br/>
        <w:t>eficientes; e para atividades de racionalização da limpeza  urbana  e</w:t>
      </w:r>
      <w:r w:rsidR="002D5729">
        <w:br/>
        <w:t xml:space="preserve">disposição de resíduos, com aproveitamento para geração de energia;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III - prazo de reembolso: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a)  até  12  (doze)  anos, incluídos até 8  (oito)  anos  de</w:t>
      </w:r>
      <w:r w:rsidR="002D5729">
        <w:br/>
        <w:t>carência,  para aplicação nas atividades previstas na alínea  "a"  do</w:t>
      </w:r>
      <w:r w:rsidR="002D5729">
        <w:br/>
        <w:t xml:space="preserve">inciso II;                        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b)  até  8  (oito)  anos, incluídos até  2  (dois)  anos  de</w:t>
      </w:r>
      <w:r w:rsidR="002D5729">
        <w:br/>
        <w:t>carência,  para aplicação nas atividades previstas na alínea  "b"  do</w:t>
      </w:r>
      <w:r w:rsidR="002D5729">
        <w:br/>
        <w:t xml:space="preserve">inciso II;                        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c)  até 25 (vinte e cinco) anos, incluídos até </w:t>
      </w:r>
      <w:proofErr w:type="gramStart"/>
      <w:r w:rsidR="002D5729">
        <w:t>8</w:t>
      </w:r>
      <w:proofErr w:type="gramEnd"/>
      <w:r w:rsidR="002D5729">
        <w:t xml:space="preserve"> (oito) anos</w:t>
      </w:r>
      <w:r w:rsidR="002D5729">
        <w:br/>
        <w:t>de carência, para aplicação nas atividades previstas na alínea "c" do</w:t>
      </w:r>
      <w:r w:rsidR="002D5729">
        <w:br/>
        <w:t xml:space="preserve">inciso II;                                                           </w:t>
      </w:r>
      <w:r w:rsidR="002D5729">
        <w:br/>
      </w:r>
      <w:r w:rsidR="002D5729">
        <w:lastRenderedPageBreak/>
        <w:t xml:space="preserve">                                                                     </w:t>
      </w:r>
      <w:r w:rsidR="002D5729">
        <w:br/>
        <w:t xml:space="preserve">         d)  até  15  (quinze) anos, incluídos até 8 (oito)  anos  de</w:t>
      </w:r>
      <w:r w:rsidR="002D5729">
        <w:br/>
        <w:t>carência, para aplicação nas atividades previstas nas alíneas  "d"  e</w:t>
      </w:r>
      <w:r w:rsidR="002D5729">
        <w:br/>
        <w:t xml:space="preserve">"e" do inciso II;                 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e)  até  15 (quinze) anos, incluídos até 5 (cinco)  anos  de</w:t>
      </w:r>
      <w:r w:rsidR="002D5729">
        <w:br/>
        <w:t>carência,  para aplicação nas atividades previstas na alínea  "f"  do</w:t>
      </w:r>
      <w:r w:rsidR="002D5729">
        <w:br/>
        <w:t xml:space="preserve">inciso II;                        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IV - risco da operação: da instituição financeira credencia-</w:t>
      </w:r>
      <w:r w:rsidR="002D5729">
        <w:br/>
        <w:t xml:space="preserve">da pelo BNDES ou do próprio BNDES, quando operar diretamente.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§</w:t>
      </w:r>
      <w:proofErr w:type="gramStart"/>
      <w:r w:rsidR="002D5729">
        <w:t xml:space="preserve">  </w:t>
      </w:r>
      <w:proofErr w:type="gramEnd"/>
      <w:r w:rsidR="002D5729">
        <w:t>1º   Os  encargos  financeiros de que trata  este  artigo</w:t>
      </w:r>
      <w:r w:rsidR="002D5729">
        <w:br/>
        <w:t xml:space="preserve">podem ser capitalizados durante o período de carência.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§</w:t>
      </w:r>
      <w:proofErr w:type="gramStart"/>
      <w:r w:rsidR="002D5729">
        <w:t xml:space="preserve">  </w:t>
      </w:r>
      <w:proofErr w:type="gramEnd"/>
      <w:r w:rsidR="002D5729">
        <w:t>2º   Caso os recursos utilizados na concessão de  crédito</w:t>
      </w:r>
      <w:r w:rsidR="002D5729">
        <w:br/>
        <w:t>de que trata este artigo sejam captados com encargos financeiros mais</w:t>
      </w:r>
      <w:r w:rsidR="002D5729">
        <w:br/>
        <w:t>elevados e prazos menores do que os previstos no inciso II do  caput,</w:t>
      </w:r>
      <w:r w:rsidR="002D5729">
        <w:br/>
        <w:t>os  encargos  financeiros aos mutuários não podem ser  inferiores  ao</w:t>
      </w:r>
      <w:r w:rsidR="002D5729">
        <w:br/>
        <w:t xml:space="preserve">custo de captação, e o prazo não pode ser superior.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Art.</w:t>
      </w:r>
      <w:proofErr w:type="gramStart"/>
      <w:r w:rsidR="002D5729">
        <w:t xml:space="preserve">  </w:t>
      </w:r>
      <w:proofErr w:type="gramEnd"/>
      <w:r w:rsidR="002D5729">
        <w:t>2º   Esta  Resolução entra em vigor  na  data  de  sua</w:t>
      </w:r>
      <w:r w:rsidR="002D5729">
        <w:br/>
        <w:t xml:space="preserve">publicação.                       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                           Brasília, 14 de setembro de 2011.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             Alexandre Antonio </w:t>
      </w:r>
      <w:proofErr w:type="spellStart"/>
      <w:r w:rsidR="002D5729">
        <w:t>Tombini</w:t>
      </w:r>
      <w:proofErr w:type="spellEnd"/>
      <w:r w:rsidR="002D5729">
        <w:t xml:space="preserve">                      </w:t>
      </w:r>
      <w:r w:rsidR="002D5729">
        <w:br/>
        <w:t xml:space="preserve">                     Presidente do Banco Central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                                                            </w:t>
      </w:r>
      <w:r w:rsidR="002D5729">
        <w:br/>
        <w:t xml:space="preserve">                                                   </w:t>
      </w:r>
    </w:p>
    <w:sectPr w:rsidR="008D6811" w:rsidSect="008D6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729"/>
    <w:rsid w:val="002D5729"/>
    <w:rsid w:val="008D6811"/>
    <w:rsid w:val="00B6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7368</Characters>
  <Application>Microsoft Office Word</Application>
  <DocSecurity>0</DocSecurity>
  <Lines>61</Lines>
  <Paragraphs>17</Paragraphs>
  <ScaleCrop>false</ScaleCrop>
  <Company>Microsoft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2</cp:revision>
  <dcterms:created xsi:type="dcterms:W3CDTF">2011-09-16T18:41:00Z</dcterms:created>
  <dcterms:modified xsi:type="dcterms:W3CDTF">2011-09-16T18:42:00Z</dcterms:modified>
</cp:coreProperties>
</file>